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350"/>
        <w:gridCol w:w="1127"/>
        <w:gridCol w:w="1170"/>
        <w:gridCol w:w="763"/>
        <w:gridCol w:w="990"/>
        <w:gridCol w:w="900"/>
        <w:gridCol w:w="2610"/>
      </w:tblGrid>
      <w:tr w:rsidR="00E65F20" w:rsidRPr="00621B41" w14:paraId="094E713C" w14:textId="77777777" w:rsidTr="00E65F20">
        <w:tc>
          <w:tcPr>
            <w:tcW w:w="8910" w:type="dxa"/>
            <w:gridSpan w:val="7"/>
            <w:shd w:val="clear" w:color="auto" w:fill="B2A1C7" w:themeFill="accent4" w:themeFillTint="99"/>
          </w:tcPr>
          <w:p w14:paraId="3DFF618F" w14:textId="77777777" w:rsidR="00E65F20" w:rsidRPr="00621B41" w:rsidRDefault="00E65F20" w:rsidP="00C34C37">
            <w:pPr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621B41">
              <w:rPr>
                <w:rFonts w:cs="Times New Roman"/>
                <w:sz w:val="22"/>
                <w:szCs w:val="22"/>
              </w:rPr>
              <w:t xml:space="preserve">Unit &amp; </w:t>
            </w:r>
            <w:r>
              <w:rPr>
                <w:rFonts w:cs="Times New Roman"/>
                <w:sz w:val="22"/>
                <w:szCs w:val="22"/>
              </w:rPr>
              <w:t xml:space="preserve">ELED </w:t>
            </w:r>
            <w:r w:rsidRPr="00621B41">
              <w:rPr>
                <w:rFonts w:cs="Times New Roman"/>
                <w:sz w:val="22"/>
                <w:szCs w:val="22"/>
              </w:rPr>
              <w:t>Program Assessment #1: ACT-CAAP</w:t>
            </w:r>
          </w:p>
        </w:tc>
      </w:tr>
      <w:tr w:rsidR="00E65F20" w:rsidRPr="00621B41" w14:paraId="031A9875" w14:textId="77777777" w:rsidTr="00E65F20">
        <w:tc>
          <w:tcPr>
            <w:tcW w:w="1350" w:type="dxa"/>
          </w:tcPr>
          <w:p w14:paraId="215ACCD0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Assessment: ACT-CAAP</w:t>
            </w:r>
          </w:p>
        </w:tc>
        <w:tc>
          <w:tcPr>
            <w:tcW w:w="1127" w:type="dxa"/>
          </w:tcPr>
          <w:p w14:paraId="336FFC0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Number</w:t>
            </w:r>
          </w:p>
          <w:p w14:paraId="6A23DE9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=N</w:t>
            </w:r>
          </w:p>
        </w:tc>
        <w:tc>
          <w:tcPr>
            <w:tcW w:w="1170" w:type="dxa"/>
            <w:shd w:val="clear" w:color="auto" w:fill="auto"/>
          </w:tcPr>
          <w:p w14:paraId="7D206A4D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Qualifying Score</w:t>
            </w:r>
          </w:p>
        </w:tc>
        <w:tc>
          <w:tcPr>
            <w:tcW w:w="763" w:type="dxa"/>
            <w:shd w:val="clear" w:color="auto" w:fill="auto"/>
          </w:tcPr>
          <w:p w14:paraId="5F9B056E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Mean</w:t>
            </w:r>
          </w:p>
        </w:tc>
        <w:tc>
          <w:tcPr>
            <w:tcW w:w="990" w:type="dxa"/>
            <w:shd w:val="clear" w:color="auto" w:fill="auto"/>
          </w:tcPr>
          <w:p w14:paraId="592C37B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National </w:t>
            </w:r>
          </w:p>
          <w:p w14:paraId="1062FAEC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Median</w:t>
            </w:r>
          </w:p>
        </w:tc>
        <w:tc>
          <w:tcPr>
            <w:tcW w:w="900" w:type="dxa"/>
            <w:shd w:val="clear" w:color="auto" w:fill="auto"/>
          </w:tcPr>
          <w:p w14:paraId="4040D81F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Range</w:t>
            </w:r>
          </w:p>
        </w:tc>
        <w:tc>
          <w:tcPr>
            <w:tcW w:w="2610" w:type="dxa"/>
            <w:shd w:val="clear" w:color="auto" w:fill="auto"/>
          </w:tcPr>
          <w:p w14:paraId="12AFF36F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 of Candidates Passing</w:t>
            </w:r>
          </w:p>
        </w:tc>
      </w:tr>
      <w:tr w:rsidR="00E65F20" w:rsidRPr="00621B41" w14:paraId="00905CE0" w14:textId="77777777" w:rsidTr="00E65F20">
        <w:tc>
          <w:tcPr>
            <w:tcW w:w="1350" w:type="dxa"/>
          </w:tcPr>
          <w:p w14:paraId="2E577DA6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D7C052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N=</w:t>
            </w:r>
          </w:p>
        </w:tc>
        <w:tc>
          <w:tcPr>
            <w:tcW w:w="1170" w:type="dxa"/>
            <w:shd w:val="clear" w:color="auto" w:fill="auto"/>
          </w:tcPr>
          <w:p w14:paraId="49DF5ED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auto"/>
          </w:tcPr>
          <w:p w14:paraId="19467A09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FC45E85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B6AF772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1A3B62C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65F20" w:rsidRPr="00621B41" w14:paraId="63164075" w14:textId="77777777" w:rsidTr="00E65F20">
        <w:trPr>
          <w:trHeight w:val="1565"/>
        </w:trPr>
        <w:tc>
          <w:tcPr>
            <w:tcW w:w="1350" w:type="dxa"/>
          </w:tcPr>
          <w:p w14:paraId="3D47BB4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Reading</w:t>
            </w:r>
          </w:p>
          <w:p w14:paraId="03E8066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2013-14</w:t>
            </w:r>
          </w:p>
          <w:p w14:paraId="7749FE0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2014-15</w:t>
            </w:r>
          </w:p>
          <w:p w14:paraId="6CA301E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2015-16</w:t>
            </w:r>
          </w:p>
          <w:p w14:paraId="448CA69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</w:t>
            </w:r>
          </w:p>
          <w:p w14:paraId="62E037E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2017-18</w:t>
            </w:r>
          </w:p>
          <w:p w14:paraId="4ECCE66A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Candidates</w:t>
            </w:r>
          </w:p>
        </w:tc>
        <w:tc>
          <w:tcPr>
            <w:tcW w:w="1127" w:type="dxa"/>
          </w:tcPr>
          <w:p w14:paraId="25B0606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A6E23F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  <w:p w14:paraId="6E673D9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09B3530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3F8506CA" w14:textId="77777777" w:rsidR="00E65F20" w:rsidRPr="002E246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2E2463">
              <w:rPr>
                <w:rFonts w:cs="Times New Roman"/>
                <w:sz w:val="22"/>
                <w:szCs w:val="22"/>
              </w:rPr>
              <w:t>2</w:t>
            </w:r>
          </w:p>
          <w:p w14:paraId="6D6245A7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4</w:t>
            </w:r>
          </w:p>
          <w:p w14:paraId="6E17027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70" w:type="dxa"/>
            <w:shd w:val="clear" w:color="auto" w:fill="auto"/>
          </w:tcPr>
          <w:p w14:paraId="03C57CC0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763" w:type="dxa"/>
            <w:shd w:val="clear" w:color="auto" w:fill="auto"/>
          </w:tcPr>
          <w:p w14:paraId="4A4F812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71B9AB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  <w:p w14:paraId="290BA35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</w:p>
          <w:p w14:paraId="3E853AC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58.5</w:t>
            </w:r>
          </w:p>
          <w:p w14:paraId="182CFB20" w14:textId="77777777" w:rsidR="00E65F20" w:rsidRPr="002E246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2E2463">
              <w:rPr>
                <w:rFonts w:cs="Times New Roman"/>
                <w:sz w:val="22"/>
                <w:szCs w:val="22"/>
              </w:rPr>
              <w:t>59</w:t>
            </w:r>
          </w:p>
          <w:p w14:paraId="10AAC6C1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60</w:t>
            </w:r>
          </w:p>
          <w:p w14:paraId="0297A293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60.23</w:t>
            </w:r>
          </w:p>
        </w:tc>
        <w:tc>
          <w:tcPr>
            <w:tcW w:w="990" w:type="dxa"/>
            <w:shd w:val="clear" w:color="auto" w:fill="auto"/>
          </w:tcPr>
          <w:p w14:paraId="0E44875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60804D1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CADC75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1C4AFA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57-65</w:t>
            </w:r>
          </w:p>
          <w:p w14:paraId="1193F7E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749A4F6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5EE41CB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2E2463">
              <w:rPr>
                <w:rFonts w:cs="Times New Roman"/>
                <w:sz w:val="22"/>
                <w:szCs w:val="22"/>
              </w:rPr>
              <w:t>*</w:t>
            </w:r>
          </w:p>
          <w:p w14:paraId="702FA36D" w14:textId="77777777" w:rsidR="00E65F20" w:rsidRPr="00B116B7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 w:rsidRPr="00B116B7">
              <w:rPr>
                <w:rFonts w:cs="Times New Roman"/>
                <w:sz w:val="22"/>
                <w:szCs w:val="22"/>
                <w:u w:val="single"/>
              </w:rPr>
              <w:t>57-61</w:t>
            </w:r>
          </w:p>
          <w:p w14:paraId="6E9D76D8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57-65</w:t>
            </w:r>
          </w:p>
        </w:tc>
        <w:tc>
          <w:tcPr>
            <w:tcW w:w="2610" w:type="dxa"/>
            <w:shd w:val="clear" w:color="auto" w:fill="auto"/>
          </w:tcPr>
          <w:p w14:paraId="29E52C3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57DD00A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54700BD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6983483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6C774624" w14:textId="77777777" w:rsidR="00E65F20" w:rsidRPr="002E246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2E2463">
              <w:rPr>
                <w:rFonts w:cs="Times New Roman"/>
                <w:sz w:val="22"/>
                <w:szCs w:val="22"/>
              </w:rPr>
              <w:t>100%</w:t>
            </w:r>
          </w:p>
          <w:p w14:paraId="36CAC831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100%</w:t>
            </w:r>
          </w:p>
          <w:p w14:paraId="1C6ED60C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</w:tc>
      </w:tr>
      <w:tr w:rsidR="00E65F20" w:rsidRPr="00621B41" w14:paraId="24A48669" w14:textId="77777777" w:rsidTr="00E65F20">
        <w:tc>
          <w:tcPr>
            <w:tcW w:w="1350" w:type="dxa"/>
          </w:tcPr>
          <w:p w14:paraId="67B3A7E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Writing</w:t>
            </w:r>
          </w:p>
          <w:p w14:paraId="723C921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2012-13</w:t>
            </w:r>
          </w:p>
          <w:p w14:paraId="18BC97E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2013-14</w:t>
            </w:r>
          </w:p>
          <w:p w14:paraId="161B566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2014-15</w:t>
            </w:r>
          </w:p>
          <w:p w14:paraId="31CE61B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2015-16</w:t>
            </w:r>
          </w:p>
          <w:p w14:paraId="5587A17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</w:t>
            </w:r>
          </w:p>
          <w:p w14:paraId="4F493E7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2017-18</w:t>
            </w:r>
          </w:p>
          <w:p w14:paraId="47EE7A4E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Candidates</w:t>
            </w:r>
          </w:p>
        </w:tc>
        <w:tc>
          <w:tcPr>
            <w:tcW w:w="1127" w:type="dxa"/>
          </w:tcPr>
          <w:p w14:paraId="22D6CDB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59EB4F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  <w:p w14:paraId="5491D04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78F1395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5931CC38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2</w:t>
            </w:r>
          </w:p>
          <w:p w14:paraId="667465DF" w14:textId="77777777" w:rsidR="00E65F20" w:rsidRPr="003409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340941">
              <w:rPr>
                <w:rFonts w:cs="Times New Roman"/>
                <w:sz w:val="22"/>
                <w:szCs w:val="22"/>
              </w:rPr>
              <w:t>0</w:t>
            </w:r>
          </w:p>
          <w:p w14:paraId="1A74FA93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4</w:t>
            </w:r>
          </w:p>
          <w:p w14:paraId="14BD95B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70" w:type="dxa"/>
            <w:shd w:val="clear" w:color="auto" w:fill="auto"/>
          </w:tcPr>
          <w:p w14:paraId="48259626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</w:t>
            </w:r>
          </w:p>
        </w:tc>
        <w:tc>
          <w:tcPr>
            <w:tcW w:w="763" w:type="dxa"/>
            <w:shd w:val="clear" w:color="auto" w:fill="auto"/>
          </w:tcPr>
          <w:p w14:paraId="64FE15A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290BBE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3.75</w:t>
            </w:r>
          </w:p>
          <w:p w14:paraId="05861EE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</w:t>
            </w:r>
          </w:p>
          <w:p w14:paraId="055D744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  <w:p w14:paraId="6D42436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4.125</w:t>
            </w:r>
          </w:p>
          <w:p w14:paraId="2221FC1B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CD15148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4.56</w:t>
            </w:r>
          </w:p>
          <w:p w14:paraId="5527F6D8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4.06</w:t>
            </w:r>
          </w:p>
        </w:tc>
        <w:tc>
          <w:tcPr>
            <w:tcW w:w="990" w:type="dxa"/>
            <w:shd w:val="clear" w:color="auto" w:fill="auto"/>
          </w:tcPr>
          <w:p w14:paraId="7935A571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18CC4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46071D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3.5-4</w:t>
            </w:r>
          </w:p>
          <w:p w14:paraId="42FB2C1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38D7BEB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47BCEB3E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*</w:t>
            </w:r>
          </w:p>
          <w:p w14:paraId="35998529" w14:textId="77777777" w:rsidR="00E65F20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</w:p>
          <w:p w14:paraId="5D96555A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4.0-5.0____</w:t>
            </w:r>
          </w:p>
          <w:p w14:paraId="6B554744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3.5-5</w:t>
            </w:r>
          </w:p>
        </w:tc>
        <w:tc>
          <w:tcPr>
            <w:tcW w:w="2610" w:type="dxa"/>
            <w:shd w:val="clear" w:color="auto" w:fill="auto"/>
          </w:tcPr>
          <w:p w14:paraId="419BF94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7B7297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68BF23D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07CF700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3C09DD31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100%</w:t>
            </w:r>
          </w:p>
          <w:p w14:paraId="6177650F" w14:textId="77777777" w:rsidR="00E65F20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</w:p>
          <w:p w14:paraId="3C6CDC7F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100%____</w:t>
            </w:r>
          </w:p>
          <w:p w14:paraId="3753CB21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</w:tc>
      </w:tr>
      <w:tr w:rsidR="00E65F20" w:rsidRPr="00621B41" w14:paraId="0CB1E752" w14:textId="77777777" w:rsidTr="00E65F20">
        <w:trPr>
          <w:trHeight w:val="305"/>
        </w:trPr>
        <w:tc>
          <w:tcPr>
            <w:tcW w:w="1350" w:type="dxa"/>
          </w:tcPr>
          <w:p w14:paraId="56C5205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Math</w:t>
            </w:r>
          </w:p>
          <w:p w14:paraId="6375A9C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2012-13</w:t>
            </w:r>
          </w:p>
          <w:p w14:paraId="33FF15C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2013-14</w:t>
            </w:r>
          </w:p>
          <w:p w14:paraId="5BF34F0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2014-15</w:t>
            </w:r>
          </w:p>
          <w:p w14:paraId="202ABFC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2015-16</w:t>
            </w:r>
          </w:p>
          <w:p w14:paraId="230C8DD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</w:t>
            </w:r>
          </w:p>
          <w:p w14:paraId="33AA225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2017-18</w:t>
            </w:r>
          </w:p>
          <w:p w14:paraId="20F3FDAF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Candidates</w:t>
            </w:r>
          </w:p>
        </w:tc>
        <w:tc>
          <w:tcPr>
            <w:tcW w:w="1127" w:type="dxa"/>
          </w:tcPr>
          <w:p w14:paraId="4B57DE2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4F1F46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  <w:p w14:paraId="513AE24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5B0767C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  <w:p w14:paraId="4624262A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1</w:t>
            </w:r>
          </w:p>
          <w:p w14:paraId="73D8E4EF" w14:textId="77777777" w:rsidR="00E65F20" w:rsidRPr="00905F78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905F78">
              <w:rPr>
                <w:rFonts w:cs="Times New Roman"/>
                <w:sz w:val="22"/>
                <w:szCs w:val="22"/>
              </w:rPr>
              <w:t>0</w:t>
            </w:r>
          </w:p>
          <w:p w14:paraId="62D39032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3</w:t>
            </w:r>
          </w:p>
          <w:p w14:paraId="694FB33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14:paraId="319C2CA3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763" w:type="dxa"/>
            <w:shd w:val="clear" w:color="auto" w:fill="auto"/>
          </w:tcPr>
          <w:p w14:paraId="4F693E4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3864A0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55.67</w:t>
            </w:r>
          </w:p>
          <w:p w14:paraId="21D30FD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</w:t>
            </w:r>
          </w:p>
          <w:p w14:paraId="39146DE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57.33</w:t>
            </w:r>
          </w:p>
          <w:p w14:paraId="5FC8D783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*</w:t>
            </w:r>
          </w:p>
          <w:p w14:paraId="370096F4" w14:textId="77777777" w:rsidR="00E65F20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</w:p>
          <w:p w14:paraId="2CABEABB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54.33</w:t>
            </w:r>
          </w:p>
          <w:p w14:paraId="5A58C479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56.00</w:t>
            </w:r>
          </w:p>
        </w:tc>
        <w:tc>
          <w:tcPr>
            <w:tcW w:w="990" w:type="dxa"/>
            <w:shd w:val="clear" w:color="auto" w:fill="auto"/>
          </w:tcPr>
          <w:p w14:paraId="1A764D2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77B4416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EEFD52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1D25A1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52-58</w:t>
            </w:r>
          </w:p>
          <w:p w14:paraId="6DD630E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4D1E783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56-58</w:t>
            </w:r>
          </w:p>
          <w:p w14:paraId="24F5AFDE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*</w:t>
            </w:r>
          </w:p>
          <w:p w14:paraId="006896BE" w14:textId="77777777" w:rsidR="00E65F20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</w:p>
          <w:p w14:paraId="476BA840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53-56_____</w:t>
            </w:r>
          </w:p>
          <w:p w14:paraId="0822860F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52-59</w:t>
            </w:r>
          </w:p>
        </w:tc>
        <w:tc>
          <w:tcPr>
            <w:tcW w:w="2610" w:type="dxa"/>
            <w:shd w:val="clear" w:color="auto" w:fill="auto"/>
          </w:tcPr>
          <w:p w14:paraId="2F7D910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F32112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67%</w:t>
            </w:r>
          </w:p>
          <w:p w14:paraId="3ECA2F2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6D7F1D5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409490D4" w14:textId="77777777" w:rsidR="00E65F20" w:rsidRPr="000D6BF3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0D6BF3">
              <w:rPr>
                <w:rFonts w:cs="Times New Roman"/>
                <w:sz w:val="22"/>
                <w:szCs w:val="22"/>
              </w:rPr>
              <w:t>0%</w:t>
            </w:r>
          </w:p>
          <w:p w14:paraId="1E84FE24" w14:textId="77777777" w:rsidR="00E65F20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  <w:r>
              <w:rPr>
                <w:rFonts w:cs="Times New Roman"/>
                <w:sz w:val="22"/>
                <w:szCs w:val="22"/>
                <w:u w:val="single"/>
              </w:rPr>
              <w:softHyphen/>
            </w:r>
          </w:p>
          <w:p w14:paraId="6F167ED8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33%___</w:t>
            </w:r>
          </w:p>
          <w:p w14:paraId="4D0D2785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67%</w:t>
            </w:r>
          </w:p>
        </w:tc>
      </w:tr>
      <w:tr w:rsidR="00E65F20" w:rsidRPr="00621B41" w14:paraId="6BED7353" w14:textId="77777777" w:rsidTr="00E65F20">
        <w:trPr>
          <w:trHeight w:val="1133"/>
        </w:trPr>
        <w:tc>
          <w:tcPr>
            <w:tcW w:w="1350" w:type="dxa"/>
          </w:tcPr>
          <w:p w14:paraId="2003EBA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ACT Cohort avg.</w:t>
            </w:r>
          </w:p>
          <w:p w14:paraId="5173A48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2011-12</w:t>
            </w:r>
          </w:p>
          <w:p w14:paraId="5C7CBB5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2012-13</w:t>
            </w:r>
          </w:p>
          <w:p w14:paraId="382BFE0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2013-14</w:t>
            </w:r>
          </w:p>
          <w:p w14:paraId="0ABE25D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2014-15</w:t>
            </w:r>
          </w:p>
          <w:p w14:paraId="3BBDAEC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2015-16</w:t>
            </w:r>
          </w:p>
          <w:p w14:paraId="76E5BDD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</w:t>
            </w:r>
          </w:p>
          <w:p w14:paraId="66B09C8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2017-18</w:t>
            </w:r>
          </w:p>
          <w:p w14:paraId="20719C2B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Candidates</w:t>
            </w:r>
          </w:p>
        </w:tc>
        <w:tc>
          <w:tcPr>
            <w:tcW w:w="1127" w:type="dxa"/>
          </w:tcPr>
          <w:p w14:paraId="4180EF2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A6329E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94B0CA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14:paraId="6F317A65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  <w:p w14:paraId="58316E1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7B58B2A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14C9C1A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14:paraId="1B15E9C6" w14:textId="77777777" w:rsidR="00E65F20" w:rsidRPr="00BD5A7D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BD5A7D">
              <w:rPr>
                <w:rFonts w:cs="Times New Roman"/>
                <w:sz w:val="22"/>
                <w:szCs w:val="22"/>
              </w:rPr>
              <w:t>5</w:t>
            </w:r>
          </w:p>
          <w:p w14:paraId="32B611D2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*</w:t>
            </w:r>
          </w:p>
          <w:p w14:paraId="0DD6644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14:paraId="74D2D4F5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763" w:type="dxa"/>
            <w:shd w:val="clear" w:color="auto" w:fill="auto"/>
          </w:tcPr>
          <w:p w14:paraId="5740A5E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62A56B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14E116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2AFEBBF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21.4</w:t>
            </w:r>
          </w:p>
          <w:p w14:paraId="097CDB6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  <w:r w:rsidRPr="00621B41">
              <w:rPr>
                <w:rFonts w:cs="Times New Roman"/>
                <w:sz w:val="22"/>
                <w:szCs w:val="22"/>
              </w:rPr>
              <w:t>.5</w:t>
            </w:r>
          </w:p>
          <w:p w14:paraId="15F8DA8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20.5</w:t>
            </w:r>
          </w:p>
          <w:p w14:paraId="06E3B39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21.4</w:t>
            </w:r>
          </w:p>
          <w:p w14:paraId="686E4BF6" w14:textId="77777777" w:rsidR="00E65F20" w:rsidRPr="00BD5A7D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BD5A7D">
              <w:rPr>
                <w:rFonts w:cs="Times New Roman"/>
                <w:sz w:val="22"/>
                <w:szCs w:val="22"/>
              </w:rPr>
              <w:t>20.3</w:t>
            </w:r>
          </w:p>
          <w:p w14:paraId="6A650E38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*</w:t>
            </w:r>
            <w:r w:rsidRPr="00E65F20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41DF6771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21.22</w:t>
            </w:r>
          </w:p>
        </w:tc>
        <w:tc>
          <w:tcPr>
            <w:tcW w:w="990" w:type="dxa"/>
            <w:shd w:val="clear" w:color="auto" w:fill="auto"/>
          </w:tcPr>
          <w:p w14:paraId="32901F8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5E15A6A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FA81CA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F5F27E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08A937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F48589B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20.8</w:t>
            </w:r>
          </w:p>
        </w:tc>
        <w:tc>
          <w:tcPr>
            <w:tcW w:w="900" w:type="dxa"/>
            <w:shd w:val="clear" w:color="auto" w:fill="auto"/>
          </w:tcPr>
          <w:p w14:paraId="257C0F5F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36679E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D5FEE0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543AA10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15-28</w:t>
            </w:r>
          </w:p>
          <w:p w14:paraId="6841B09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3B20592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63095E9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18-23</w:t>
            </w:r>
          </w:p>
          <w:p w14:paraId="797EF237" w14:textId="77777777" w:rsidR="00E65F20" w:rsidRPr="00BD5A7D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BD5A7D">
              <w:rPr>
                <w:rFonts w:cs="Times New Roman"/>
                <w:sz w:val="22"/>
                <w:szCs w:val="22"/>
              </w:rPr>
              <w:t>17-25</w:t>
            </w:r>
          </w:p>
          <w:p w14:paraId="161F11A2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*</w:t>
            </w:r>
          </w:p>
          <w:p w14:paraId="40F42BD3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15-28</w:t>
            </w:r>
          </w:p>
        </w:tc>
        <w:tc>
          <w:tcPr>
            <w:tcW w:w="2610" w:type="dxa"/>
            <w:shd w:val="clear" w:color="auto" w:fill="auto"/>
          </w:tcPr>
          <w:p w14:paraId="72420B6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ABD434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9CA6C7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65B0904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40%</w:t>
            </w:r>
          </w:p>
          <w:p w14:paraId="419C260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50%</w:t>
            </w:r>
          </w:p>
          <w:p w14:paraId="1E6C78E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0%</w:t>
            </w:r>
          </w:p>
          <w:p w14:paraId="4267B20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60%</w:t>
            </w:r>
          </w:p>
          <w:p w14:paraId="1F267F08" w14:textId="77777777" w:rsidR="00E65F20" w:rsidRPr="00BD5A7D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BD5A7D">
              <w:rPr>
                <w:rFonts w:cs="Times New Roman"/>
                <w:sz w:val="22"/>
                <w:szCs w:val="22"/>
              </w:rPr>
              <w:t>33%</w:t>
            </w:r>
          </w:p>
          <w:p w14:paraId="22E4155F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*</w:t>
            </w:r>
          </w:p>
          <w:p w14:paraId="2314B195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42.1% (23 or above)</w:t>
            </w:r>
          </w:p>
        </w:tc>
      </w:tr>
      <w:tr w:rsidR="00E65F20" w:rsidRPr="00621B41" w14:paraId="7D0B05A9" w14:textId="77777777" w:rsidTr="00E65F20">
        <w:trPr>
          <w:trHeight w:val="1133"/>
        </w:trPr>
        <w:tc>
          <w:tcPr>
            <w:tcW w:w="1350" w:type="dxa"/>
          </w:tcPr>
          <w:p w14:paraId="0F6E1AF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FB5757">
              <w:rPr>
                <w:rFonts w:cs="Times New Roman"/>
                <w:sz w:val="22"/>
                <w:szCs w:val="22"/>
                <w:highlight w:val="yellow"/>
              </w:rPr>
              <w:t>ACT Non-Educ Majors</w:t>
            </w:r>
            <w:r w:rsidRPr="00621B41">
              <w:rPr>
                <w:rFonts w:cs="Times New Roman"/>
                <w:sz w:val="22"/>
                <w:szCs w:val="22"/>
              </w:rPr>
              <w:t xml:space="preserve"> avg.</w:t>
            </w:r>
          </w:p>
          <w:p w14:paraId="0E0D00C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2013-14</w:t>
            </w:r>
          </w:p>
          <w:p w14:paraId="23E26DC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2014-15</w:t>
            </w:r>
          </w:p>
          <w:p w14:paraId="4099AB8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2015-16</w:t>
            </w:r>
          </w:p>
          <w:p w14:paraId="6256442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</w:t>
            </w:r>
          </w:p>
          <w:p w14:paraId="2280FAB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2017-18</w:t>
            </w:r>
          </w:p>
          <w:p w14:paraId="491EE598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Non-Majors</w:t>
            </w:r>
          </w:p>
        </w:tc>
        <w:tc>
          <w:tcPr>
            <w:tcW w:w="1127" w:type="dxa"/>
          </w:tcPr>
          <w:p w14:paraId="415ACB0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532B274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98EABE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1669AD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84EC14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  <w:p w14:paraId="1058DFB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  <w:p w14:paraId="3C8A2D3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  <w:p w14:paraId="1BF48AD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F8026D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25FB95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6D55016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12400B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D3B87B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FD1D28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F86E34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4CA114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704CB3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auto"/>
          </w:tcPr>
          <w:p w14:paraId="0DF41C2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8E9AA1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72FE41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34F149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BD689F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18.8</w:t>
            </w:r>
          </w:p>
          <w:p w14:paraId="7078057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  <w:p w14:paraId="4776E21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  <w:p w14:paraId="36CBDB2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5A24DD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19.27</w:t>
            </w:r>
          </w:p>
        </w:tc>
        <w:tc>
          <w:tcPr>
            <w:tcW w:w="990" w:type="dxa"/>
            <w:shd w:val="clear" w:color="auto" w:fill="auto"/>
          </w:tcPr>
          <w:p w14:paraId="7E91FF0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1F2D23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B786EA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63A36F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25A847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55984C4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EB410F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20.8</w:t>
            </w:r>
          </w:p>
        </w:tc>
        <w:tc>
          <w:tcPr>
            <w:tcW w:w="900" w:type="dxa"/>
            <w:shd w:val="clear" w:color="auto" w:fill="auto"/>
          </w:tcPr>
          <w:p w14:paraId="6CFBE29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631B02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B3F794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D1B3EC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94335E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13-30</w:t>
            </w:r>
          </w:p>
          <w:p w14:paraId="6278875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12-29</w:t>
            </w:r>
          </w:p>
          <w:p w14:paraId="44ECB79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12-27</w:t>
            </w:r>
          </w:p>
          <w:p w14:paraId="484C3BC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F9D266B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12-30</w:t>
            </w:r>
          </w:p>
        </w:tc>
        <w:tc>
          <w:tcPr>
            <w:tcW w:w="2610" w:type="dxa"/>
            <w:shd w:val="clear" w:color="auto" w:fill="auto"/>
          </w:tcPr>
          <w:p w14:paraId="3AD79F6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65F20" w:rsidRPr="00621B41" w14:paraId="6F8730AD" w14:textId="77777777" w:rsidTr="00E65F20">
        <w:tc>
          <w:tcPr>
            <w:tcW w:w="1350" w:type="dxa"/>
          </w:tcPr>
          <w:p w14:paraId="2AE51D0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FB5757">
              <w:rPr>
                <w:rFonts w:cs="Times New Roman"/>
                <w:sz w:val="22"/>
                <w:szCs w:val="22"/>
              </w:rPr>
              <w:t>SAT avg.</w:t>
            </w:r>
          </w:p>
          <w:p w14:paraId="3297807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2013-14</w:t>
            </w:r>
          </w:p>
          <w:p w14:paraId="792836C9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2014-15</w:t>
            </w:r>
          </w:p>
          <w:p w14:paraId="16CAA9E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2015-16</w:t>
            </w:r>
          </w:p>
          <w:p w14:paraId="77E466D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</w:t>
            </w:r>
          </w:p>
          <w:p w14:paraId="10495BB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2017-18</w:t>
            </w:r>
          </w:p>
          <w:p w14:paraId="69500B4A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Candidates</w:t>
            </w:r>
          </w:p>
        </w:tc>
        <w:tc>
          <w:tcPr>
            <w:tcW w:w="1127" w:type="dxa"/>
          </w:tcPr>
          <w:p w14:paraId="3ECDFC3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F52684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14:paraId="17776DD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14:paraId="5BBEC413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14:paraId="4074F25B" w14:textId="77777777" w:rsidR="00E65F20" w:rsidRPr="00FB5757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FB5757">
              <w:rPr>
                <w:rFonts w:cs="Times New Roman"/>
                <w:sz w:val="22"/>
                <w:szCs w:val="22"/>
              </w:rPr>
              <w:t>2</w:t>
            </w:r>
          </w:p>
          <w:p w14:paraId="618264A6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*</w:t>
            </w:r>
          </w:p>
          <w:p w14:paraId="625C1B1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0288BCB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1590</w:t>
            </w:r>
          </w:p>
        </w:tc>
        <w:tc>
          <w:tcPr>
            <w:tcW w:w="763" w:type="dxa"/>
            <w:shd w:val="clear" w:color="auto" w:fill="auto"/>
          </w:tcPr>
          <w:p w14:paraId="52BD880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C179D6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40FE5FB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79ABE85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52FE5103" w14:textId="77777777" w:rsidR="00E65F20" w:rsidRPr="00FB5757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1365</w:t>
            </w:r>
          </w:p>
          <w:p w14:paraId="0176CB77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*</w:t>
            </w:r>
          </w:p>
          <w:p w14:paraId="456852DF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1512</w:t>
            </w:r>
          </w:p>
        </w:tc>
        <w:tc>
          <w:tcPr>
            <w:tcW w:w="990" w:type="dxa"/>
            <w:shd w:val="clear" w:color="auto" w:fill="auto"/>
          </w:tcPr>
          <w:p w14:paraId="4E40092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9AC282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CR 494</w:t>
            </w:r>
          </w:p>
          <w:p w14:paraId="2C8D849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 508</w:t>
            </w:r>
          </w:p>
          <w:p w14:paraId="4C234FB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 482</w:t>
            </w:r>
          </w:p>
          <w:p w14:paraId="01B623A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382A76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65C8C7D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tests 1440</w:t>
            </w:r>
          </w:p>
        </w:tc>
        <w:tc>
          <w:tcPr>
            <w:tcW w:w="900" w:type="dxa"/>
            <w:shd w:val="clear" w:color="auto" w:fill="auto"/>
          </w:tcPr>
          <w:p w14:paraId="278643C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64E2A46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65CAA47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2A1546C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0D48DAF9" w14:textId="77777777" w:rsidR="00E65F20" w:rsidRPr="00FB5757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  <w:p w14:paraId="3F05290C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*</w:t>
            </w:r>
          </w:p>
          <w:p w14:paraId="440479BD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1000-1810</w:t>
            </w:r>
          </w:p>
        </w:tc>
        <w:tc>
          <w:tcPr>
            <w:tcW w:w="2610" w:type="dxa"/>
            <w:shd w:val="clear" w:color="auto" w:fill="auto"/>
          </w:tcPr>
          <w:p w14:paraId="7ABF335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4211E6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5597CC5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100%</w:t>
            </w:r>
          </w:p>
          <w:p w14:paraId="3B87735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0%</w:t>
            </w:r>
          </w:p>
          <w:p w14:paraId="56616205" w14:textId="77777777" w:rsidR="00E65F20" w:rsidRPr="00FB5757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FB5757">
              <w:rPr>
                <w:rFonts w:cs="Times New Roman"/>
                <w:sz w:val="22"/>
                <w:szCs w:val="22"/>
              </w:rPr>
              <w:t>0%</w:t>
            </w:r>
          </w:p>
          <w:p w14:paraId="70FA2C3C" w14:textId="77777777" w:rsidR="00E65F20" w:rsidRPr="005E0C11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0%</w:t>
            </w:r>
          </w:p>
          <w:p w14:paraId="487FF282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50%</w:t>
            </w:r>
          </w:p>
        </w:tc>
      </w:tr>
      <w:tr w:rsidR="00E65F20" w:rsidRPr="00621B41" w14:paraId="37FD5F2F" w14:textId="77777777" w:rsidTr="00E65F20">
        <w:tc>
          <w:tcPr>
            <w:tcW w:w="1350" w:type="dxa"/>
          </w:tcPr>
          <w:p w14:paraId="306359A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FB5757">
              <w:rPr>
                <w:rFonts w:cs="Times New Roman"/>
                <w:sz w:val="22"/>
                <w:szCs w:val="22"/>
                <w:highlight w:val="yellow"/>
              </w:rPr>
              <w:t>SAT Non-Educ Majors</w:t>
            </w:r>
            <w:r>
              <w:rPr>
                <w:rFonts w:cs="Times New Roman"/>
                <w:sz w:val="22"/>
                <w:szCs w:val="22"/>
              </w:rPr>
              <w:t xml:space="preserve"> avg. </w:t>
            </w:r>
          </w:p>
          <w:p w14:paraId="6E74335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2013-14</w:t>
            </w:r>
          </w:p>
          <w:p w14:paraId="7AE357B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2014-15</w:t>
            </w:r>
          </w:p>
          <w:p w14:paraId="7EA9EFA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2015-16</w:t>
            </w:r>
          </w:p>
          <w:p w14:paraId="585C05E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2016-17</w:t>
            </w:r>
          </w:p>
          <w:p w14:paraId="5D5C45B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2017-18</w:t>
            </w:r>
          </w:p>
          <w:p w14:paraId="37EB578C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All non-majors</w:t>
            </w:r>
          </w:p>
        </w:tc>
        <w:tc>
          <w:tcPr>
            <w:tcW w:w="1127" w:type="dxa"/>
          </w:tcPr>
          <w:p w14:paraId="5A8A561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814E3E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478F0D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EBB1CC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  <w:p w14:paraId="7B4ACCA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  <w:p w14:paraId="7F996FB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  <w:p w14:paraId="3C5FABE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  <w:p w14:paraId="3D529077" w14:textId="77777777" w:rsidR="00E65F20" w:rsidRPr="00FB5757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</w:p>
          <w:p w14:paraId="237CED0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70" w:type="dxa"/>
            <w:shd w:val="clear" w:color="auto" w:fill="auto"/>
          </w:tcPr>
          <w:p w14:paraId="0A9D666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536D6C5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7E2C61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1D60A7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B5C543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auto"/>
          </w:tcPr>
          <w:p w14:paraId="3017ABC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725DD6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22AC097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CF411E4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A5F34B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1600</w:t>
            </w:r>
          </w:p>
          <w:p w14:paraId="3177197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1423</w:t>
            </w:r>
          </w:p>
          <w:p w14:paraId="4119C0B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1306</w:t>
            </w:r>
          </w:p>
          <w:p w14:paraId="14038421" w14:textId="77777777" w:rsidR="00E65F20" w:rsidRPr="00FB5757" w:rsidRDefault="00E65F20" w:rsidP="00C34C37">
            <w:pPr>
              <w:rPr>
                <w:rFonts w:cs="Times New Roman"/>
                <w:sz w:val="22"/>
                <w:szCs w:val="22"/>
                <w:u w:val="single"/>
              </w:rPr>
            </w:pPr>
          </w:p>
          <w:p w14:paraId="65F0905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1443</w:t>
            </w:r>
          </w:p>
        </w:tc>
        <w:tc>
          <w:tcPr>
            <w:tcW w:w="990" w:type="dxa"/>
            <w:shd w:val="clear" w:color="auto" w:fill="auto"/>
          </w:tcPr>
          <w:p w14:paraId="58DD8BA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6446FA5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A7BFA30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139D6D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2F38996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3F22207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7B10149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1484</w:t>
            </w:r>
          </w:p>
        </w:tc>
        <w:tc>
          <w:tcPr>
            <w:tcW w:w="900" w:type="dxa"/>
            <w:shd w:val="clear" w:color="auto" w:fill="auto"/>
          </w:tcPr>
          <w:p w14:paraId="32F40CC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579BE3D2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127FD6D8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4D61D0F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3C9B86C7" w14:textId="77777777" w:rsidR="00E65F20" w:rsidRDefault="00E65F20" w:rsidP="00C34C37">
            <w:pPr>
              <w:ind w:right="-73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1400-1920</w:t>
            </w:r>
          </w:p>
          <w:p w14:paraId="358E465A" w14:textId="77777777" w:rsidR="00E65F20" w:rsidRDefault="00E65F20" w:rsidP="00C34C37">
            <w:pPr>
              <w:ind w:right="-73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1000-2000</w:t>
            </w:r>
          </w:p>
          <w:p w14:paraId="2E2DBE2B" w14:textId="77777777" w:rsidR="00E65F20" w:rsidRDefault="00E65F20" w:rsidP="00C34C37">
            <w:pPr>
              <w:ind w:right="-73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920-1870</w:t>
            </w:r>
          </w:p>
          <w:p w14:paraId="2BE53870" w14:textId="77777777" w:rsidR="00E65F20" w:rsidRDefault="00E65F20" w:rsidP="00C34C37">
            <w:pPr>
              <w:ind w:right="-73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920-2000</w:t>
            </w:r>
          </w:p>
          <w:p w14:paraId="13B2D8BD" w14:textId="77777777" w:rsidR="00E65F20" w:rsidRDefault="00E65F20" w:rsidP="00C34C37">
            <w:pPr>
              <w:ind w:right="-73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F31790A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65F20" w:rsidRPr="00621B41" w14:paraId="25CF3F73" w14:textId="77777777" w:rsidTr="00E65F20">
        <w:tc>
          <w:tcPr>
            <w:tcW w:w="8910" w:type="dxa"/>
            <w:gridSpan w:val="7"/>
          </w:tcPr>
          <w:p w14:paraId="0E394CCB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*Data is not reportable when N=1; the range would identify individual scores if N=2</w:t>
            </w:r>
          </w:p>
          <w:p w14:paraId="4743BC7F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CA3292F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 xml:space="preserve">Tag: </w:t>
            </w:r>
          </w:p>
          <w:p w14:paraId="6A6FA9C4" w14:textId="77777777" w:rsidR="00E65F20" w:rsidRDefault="00E65F20" w:rsidP="00E65F2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CAEP Standards: 1.1, 1.3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621B4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3.2, 3.4</w:t>
            </w:r>
          </w:p>
          <w:p w14:paraId="58D0BF29" w14:textId="77777777" w:rsidR="00E65F20" w:rsidRPr="00621B41" w:rsidRDefault="00E65F20" w:rsidP="00E65F2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InTASC Standards: 4, 5</w:t>
            </w:r>
          </w:p>
          <w:p w14:paraId="5B426481" w14:textId="77777777" w:rsidR="00E65F20" w:rsidRPr="00621B41" w:rsidRDefault="00E65F20" w:rsidP="00E65F2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Kansas Professional Educator Standards:</w:t>
            </w:r>
            <w:r>
              <w:rPr>
                <w:rFonts w:cs="Times New Roman"/>
                <w:sz w:val="22"/>
                <w:szCs w:val="22"/>
              </w:rPr>
              <w:t xml:space="preserve"> 4, 5</w:t>
            </w:r>
          </w:p>
          <w:p w14:paraId="1D169630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</w:p>
          <w:p w14:paraId="068C6371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Criteria:</w:t>
            </w:r>
          </w:p>
          <w:p w14:paraId="52CF9BC6" w14:textId="77777777" w:rsidR="00E65F20" w:rsidRPr="00621B41" w:rsidRDefault="00E65F20" w:rsidP="00E65F2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ACT Collegiate Assessment of Academic Proficiency (CAAP)</w:t>
            </w:r>
          </w:p>
          <w:p w14:paraId="0197DDD7" w14:textId="77777777" w:rsidR="00E65F20" w:rsidRPr="00621B41" w:rsidRDefault="00E65F20" w:rsidP="00E65F2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Required for Transition I: Admission to Teacher Education</w:t>
            </w:r>
          </w:p>
          <w:p w14:paraId="3A262B97" w14:textId="77777777" w:rsidR="00E65F20" w:rsidRPr="00621B41" w:rsidRDefault="00E65F20" w:rsidP="00E65F2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 xml:space="preserve">Candidates who obtained an ACT composite score of 23 or higher or SAT CR&amp;M 1070 or SAT CR&amp;M&amp;W 1590 or higher and provide those results to the college, may use those scores </w:t>
            </w:r>
            <w:r w:rsidRPr="00621B41">
              <w:rPr>
                <w:rFonts w:cs="Times New Roman"/>
                <w:sz w:val="22"/>
                <w:szCs w:val="22"/>
                <w:u w:val="single"/>
              </w:rPr>
              <w:t>in lieu of</w:t>
            </w:r>
            <w:r w:rsidRPr="00621B41">
              <w:rPr>
                <w:rFonts w:cs="Times New Roman"/>
                <w:sz w:val="22"/>
                <w:szCs w:val="22"/>
              </w:rPr>
              <w:t xml:space="preserve"> completion of the ACT-CAAP to meet the Transition I requirement for the ACT CAAP</w:t>
            </w:r>
          </w:p>
          <w:p w14:paraId="65631952" w14:textId="77777777" w:rsidR="00E65F20" w:rsidRPr="00621B41" w:rsidRDefault="00E65F20" w:rsidP="00E65F2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Alternative CAAP window criteria</w:t>
            </w:r>
          </w:p>
        </w:tc>
      </w:tr>
      <w:tr w:rsidR="00E65F20" w:rsidRPr="00621B41" w14:paraId="6523E947" w14:textId="77777777" w:rsidTr="00E65F20">
        <w:tc>
          <w:tcPr>
            <w:tcW w:w="8910" w:type="dxa"/>
            <w:gridSpan w:val="7"/>
          </w:tcPr>
          <w:p w14:paraId="1AC1DE65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Summary of Data Analysis:</w:t>
            </w:r>
          </w:p>
          <w:p w14:paraId="1A7D8456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 xml:space="preserve">There is a small representation of 1-4 pre-candidates in each cohort who took the </w:t>
            </w:r>
            <w:r>
              <w:rPr>
                <w:rFonts w:cs="Times New Roman"/>
                <w:sz w:val="22"/>
                <w:szCs w:val="22"/>
              </w:rPr>
              <w:t>ACT-CAAP, ACT or SAT assessment</w:t>
            </w:r>
            <w:r w:rsidRPr="00621B41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 xml:space="preserve"> Overall, all pre-candidates who were in the program at the time of testing, 100% passed the reading and writing CAAP exam; math has been the most difficult test with a 67% pass rate. </w:t>
            </w:r>
          </w:p>
          <w:p w14:paraId="5C4AA132" w14:textId="77777777" w:rsidR="00E65F20" w:rsidRPr="00621B41" w:rsidRDefault="00E65F20" w:rsidP="00E65F20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 xml:space="preserve">Reading: </w:t>
            </w:r>
            <w:r>
              <w:rPr>
                <w:rFonts w:cs="Times New Roman"/>
                <w:sz w:val="22"/>
                <w:szCs w:val="22"/>
              </w:rPr>
              <w:t xml:space="preserve">Cutoff score is 57; </w:t>
            </w:r>
            <w:r w:rsidRPr="00621B41">
              <w:rPr>
                <w:rFonts w:cs="Times New Roman"/>
                <w:sz w:val="22"/>
                <w:szCs w:val="22"/>
              </w:rPr>
              <w:t xml:space="preserve">Cohort scores have remained consistent between </w:t>
            </w:r>
            <w:r>
              <w:rPr>
                <w:rFonts w:cs="Times New Roman"/>
                <w:sz w:val="22"/>
                <w:szCs w:val="22"/>
              </w:rPr>
              <w:t>57 and 65</w:t>
            </w:r>
            <w:r w:rsidRPr="00621B41">
              <w:rPr>
                <w:rFonts w:cs="Times New Roman"/>
                <w:sz w:val="22"/>
                <w:szCs w:val="22"/>
              </w:rPr>
              <w:t>; overall loss of 3 points from 2013-201</w:t>
            </w:r>
            <w:r>
              <w:rPr>
                <w:rFonts w:cs="Times New Roman"/>
                <w:sz w:val="22"/>
                <w:szCs w:val="22"/>
              </w:rPr>
              <w:t xml:space="preserve">6. All candidates mean was 60.23 for CAAP Reading. </w:t>
            </w:r>
          </w:p>
          <w:p w14:paraId="3616DFB8" w14:textId="77777777" w:rsidR="00E65F20" w:rsidRPr="00621B41" w:rsidRDefault="00E65F20" w:rsidP="00E65F20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Writing: Cohort scores have been well above the req</w:t>
            </w:r>
            <w:r>
              <w:rPr>
                <w:rFonts w:cs="Times New Roman"/>
                <w:sz w:val="22"/>
                <w:szCs w:val="22"/>
              </w:rPr>
              <w:t>uired 2.5, maximum score is 4.06</w:t>
            </w:r>
            <w:r w:rsidRPr="00621B41">
              <w:rPr>
                <w:rFonts w:cs="Times New Roman"/>
                <w:sz w:val="22"/>
                <w:szCs w:val="22"/>
              </w:rPr>
              <w:t>, scores average from 3.5-</w:t>
            </w:r>
            <w:r>
              <w:rPr>
                <w:rFonts w:cs="Times New Roman"/>
                <w:sz w:val="22"/>
                <w:szCs w:val="22"/>
              </w:rPr>
              <w:t>5.0</w:t>
            </w:r>
            <w:r w:rsidRPr="00621B41">
              <w:rPr>
                <w:rFonts w:cs="Times New Roman"/>
                <w:sz w:val="22"/>
                <w:szCs w:val="22"/>
              </w:rPr>
              <w:t xml:space="preserve"> with a positive gain of .</w:t>
            </w:r>
            <w:r>
              <w:rPr>
                <w:rFonts w:cs="Times New Roman"/>
                <w:sz w:val="22"/>
                <w:szCs w:val="22"/>
              </w:rPr>
              <w:t>23</w:t>
            </w:r>
            <w:r w:rsidRPr="00621B41">
              <w:rPr>
                <w:rFonts w:cs="Times New Roman"/>
                <w:sz w:val="22"/>
                <w:szCs w:val="22"/>
              </w:rPr>
              <w:t xml:space="preserve"> points</w:t>
            </w:r>
            <w:r>
              <w:rPr>
                <w:rFonts w:cs="Times New Roman"/>
                <w:sz w:val="22"/>
                <w:szCs w:val="22"/>
              </w:rPr>
              <w:t xml:space="preserve">. All candidates mean was 4.06/5 for CAAP Writing. </w:t>
            </w:r>
          </w:p>
          <w:p w14:paraId="2691668B" w14:textId="77777777" w:rsidR="00E65F20" w:rsidRPr="00621B41" w:rsidRDefault="00E65F20" w:rsidP="00E65F20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Math: Cutoff score is 55; C</w:t>
            </w:r>
            <w:r>
              <w:rPr>
                <w:rFonts w:cs="Times New Roman"/>
                <w:sz w:val="22"/>
                <w:szCs w:val="22"/>
              </w:rPr>
              <w:t xml:space="preserve">ohort scores averaged between 52-59; scores were lowest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during 2017/18, with only one candidate passing the exam, </w:t>
            </w:r>
            <w:r w:rsidRPr="00621B41">
              <w:rPr>
                <w:rFonts w:cs="Times New Roman"/>
                <w:sz w:val="22"/>
                <w:szCs w:val="22"/>
              </w:rPr>
              <w:t xml:space="preserve">and highest during 2014/15; overall loss of </w:t>
            </w:r>
            <w:r>
              <w:rPr>
                <w:rFonts w:cs="Times New Roman"/>
                <w:sz w:val="22"/>
                <w:szCs w:val="22"/>
              </w:rPr>
              <w:t>3 points</w:t>
            </w:r>
            <w:r w:rsidRPr="00621B41">
              <w:rPr>
                <w:rFonts w:cs="Times New Roman"/>
                <w:sz w:val="22"/>
                <w:szCs w:val="22"/>
              </w:rPr>
              <w:t xml:space="preserve"> from 2013-</w:t>
            </w:r>
            <w:r>
              <w:rPr>
                <w:rFonts w:cs="Times New Roman"/>
                <w:sz w:val="22"/>
                <w:szCs w:val="22"/>
              </w:rPr>
              <w:t xml:space="preserve">2016. All candidates mean was 56.00 for CAAP Math. </w:t>
            </w:r>
          </w:p>
          <w:p w14:paraId="3317AE06" w14:textId="77777777" w:rsidR="00E65F20" w:rsidRPr="00621B41" w:rsidRDefault="00E65F20" w:rsidP="00E65F20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 xml:space="preserve">ACT cohort averages have remained consistent between </w:t>
            </w:r>
            <w:r>
              <w:rPr>
                <w:rFonts w:cs="Times New Roman"/>
                <w:sz w:val="22"/>
                <w:szCs w:val="22"/>
              </w:rPr>
              <w:t>15-28</w:t>
            </w:r>
            <w:r w:rsidRPr="00621B41">
              <w:rPr>
                <w:rFonts w:cs="Times New Roman"/>
                <w:sz w:val="22"/>
                <w:szCs w:val="22"/>
              </w:rPr>
              <w:t xml:space="preserve">; </w:t>
            </w:r>
            <w:r>
              <w:rPr>
                <w:rFonts w:cs="Times New Roman"/>
                <w:sz w:val="22"/>
                <w:szCs w:val="22"/>
              </w:rPr>
              <w:t>All candidates mean was 21.22 for the ACT, 42% achieving a 23 or higher on the composite score.</w:t>
            </w:r>
          </w:p>
          <w:p w14:paraId="2E7BF99E" w14:textId="77777777" w:rsidR="00E65F20" w:rsidRPr="00621B41" w:rsidRDefault="00E65F20" w:rsidP="00E65F20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SAT scores have an extremely small representation with 0-1 candidates taking the assess</w:t>
            </w:r>
            <w:r>
              <w:rPr>
                <w:rFonts w:cs="Times New Roman"/>
                <w:sz w:val="22"/>
                <w:szCs w:val="22"/>
              </w:rPr>
              <w:t>ment scores have ranged from 100</w:t>
            </w:r>
            <w:r w:rsidRPr="00621B41">
              <w:rPr>
                <w:rFonts w:cs="Times New Roman"/>
                <w:sz w:val="22"/>
                <w:szCs w:val="22"/>
              </w:rPr>
              <w:t>0-1810; all candidates who completed the SAT took the Writing component</w:t>
            </w:r>
            <w:r>
              <w:rPr>
                <w:rFonts w:cs="Times New Roman"/>
                <w:sz w:val="22"/>
                <w:szCs w:val="22"/>
              </w:rPr>
              <w:t xml:space="preserve">. 50% of the candidates who have taken the SAT have meet the minimum score requirements. </w:t>
            </w:r>
          </w:p>
        </w:tc>
      </w:tr>
      <w:tr w:rsidR="00E65F20" w:rsidRPr="00621B41" w14:paraId="5BC4CE3B" w14:textId="77777777" w:rsidTr="00E65F20">
        <w:tc>
          <w:tcPr>
            <w:tcW w:w="8910" w:type="dxa"/>
            <w:gridSpan w:val="7"/>
          </w:tcPr>
          <w:p w14:paraId="2DB9428E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lastRenderedPageBreak/>
              <w:t xml:space="preserve">Changes based on data: </w:t>
            </w:r>
          </w:p>
          <w:p w14:paraId="373AFB6E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Reading: </w:t>
            </w:r>
            <w:r w:rsidRPr="00621B41">
              <w:rPr>
                <w:rFonts w:cs="Times New Roman"/>
                <w:sz w:val="22"/>
                <w:szCs w:val="22"/>
              </w:rPr>
              <w:t>Barclay College has added three adult tutors and made it mandatory tutoring for anyone who enters any degree on a conditional admit (2016</w:t>
            </w:r>
            <w:r>
              <w:rPr>
                <w:rFonts w:cs="Times New Roman"/>
                <w:sz w:val="22"/>
                <w:szCs w:val="22"/>
              </w:rPr>
              <w:t>-18</w:t>
            </w:r>
            <w:r w:rsidRPr="00621B41">
              <w:rPr>
                <w:rFonts w:cs="Times New Roman"/>
                <w:sz w:val="22"/>
                <w:szCs w:val="22"/>
              </w:rPr>
              <w:t>); Tutoring is available and recommended to candidates who need additional skills (2016</w:t>
            </w:r>
            <w:r>
              <w:rPr>
                <w:rFonts w:cs="Times New Roman"/>
                <w:sz w:val="22"/>
                <w:szCs w:val="22"/>
              </w:rPr>
              <w:t>-18</w:t>
            </w:r>
            <w:r w:rsidRPr="00621B41">
              <w:rPr>
                <w:rFonts w:cs="Times New Roman"/>
                <w:sz w:val="22"/>
                <w:szCs w:val="22"/>
              </w:rPr>
              <w:t>)</w:t>
            </w:r>
          </w:p>
          <w:p w14:paraId="6CCC8D7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Writing: </w:t>
            </w:r>
            <w:r w:rsidRPr="00621B41">
              <w:rPr>
                <w:rFonts w:cs="Times New Roman"/>
                <w:sz w:val="22"/>
                <w:szCs w:val="22"/>
              </w:rPr>
              <w:t>Writing Center consultants are available by appointment to work one-o</w:t>
            </w:r>
            <w:r>
              <w:rPr>
                <w:rFonts w:cs="Times New Roman"/>
                <w:sz w:val="22"/>
                <w:szCs w:val="22"/>
              </w:rPr>
              <w:t>n-one with candidates (2012-2018</w:t>
            </w:r>
            <w:r w:rsidRPr="00621B41">
              <w:rPr>
                <w:rFonts w:cs="Times New Roman"/>
                <w:sz w:val="22"/>
                <w:szCs w:val="22"/>
              </w:rPr>
              <w:t>)</w:t>
            </w:r>
          </w:p>
          <w:p w14:paraId="7E5CEF24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Math: M</w:t>
            </w:r>
            <w:r w:rsidRPr="00621B41">
              <w:rPr>
                <w:rFonts w:cs="Times New Roman"/>
                <w:sz w:val="22"/>
                <w:szCs w:val="22"/>
              </w:rPr>
              <w:t xml:space="preserve">ath outcomes for the CAAP were presented to Math faculty (2014-2016); Additional tutoring in math concepts during Math Methods </w:t>
            </w:r>
            <w:r>
              <w:rPr>
                <w:rFonts w:cs="Times New Roman"/>
                <w:sz w:val="22"/>
                <w:szCs w:val="22"/>
              </w:rPr>
              <w:t>was implemented (2013-2018</w:t>
            </w:r>
            <w:r w:rsidRPr="00621B41">
              <w:rPr>
                <w:rFonts w:cs="Times New Roman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 xml:space="preserve">. Full faculty adopted a new math course and program for general education math Beginning &amp; Intermediate Algebra, which includes all of the required components of K-6 math methods. </w:t>
            </w:r>
          </w:p>
          <w:p w14:paraId="4E4F264C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CAAP results and criteria were presented to full faculty with emphasis on Reading, Writing, and Math in general education</w:t>
            </w:r>
            <w:r>
              <w:rPr>
                <w:rFonts w:cs="Times New Roman"/>
                <w:sz w:val="22"/>
                <w:szCs w:val="22"/>
              </w:rPr>
              <w:t xml:space="preserve">, however, the CAAP was discontinued by ACT in February 2018.  Teacher Education Advisory Council has adopted the CBASE and cutoff scores beginning in F 2018. </w:t>
            </w:r>
          </w:p>
          <w:p w14:paraId="4D7D12F1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ACT </w:t>
            </w:r>
            <w:r w:rsidRPr="00621B41">
              <w:rPr>
                <w:rFonts w:cs="Times New Roman"/>
                <w:sz w:val="22"/>
                <w:szCs w:val="22"/>
              </w:rPr>
              <w:t xml:space="preserve">Cohort averages appear to be consistent; small representation </w:t>
            </w:r>
            <w:r>
              <w:rPr>
                <w:rFonts w:cs="Times New Roman"/>
                <w:sz w:val="22"/>
                <w:szCs w:val="22"/>
              </w:rPr>
              <w:t>8/19</w:t>
            </w:r>
            <w:r w:rsidRPr="00621B41">
              <w:rPr>
                <w:rFonts w:cs="Times New Roman"/>
                <w:sz w:val="22"/>
                <w:szCs w:val="22"/>
              </w:rPr>
              <w:t xml:space="preserve"> candidates scoring above 23</w:t>
            </w:r>
            <w:r>
              <w:rPr>
                <w:rFonts w:cs="Times New Roman"/>
                <w:sz w:val="22"/>
                <w:szCs w:val="22"/>
              </w:rPr>
              <w:t>. The Teacher Education Advisory Council adopted a new cut score of 18 on the ACT for Transition I (2018).</w:t>
            </w:r>
          </w:p>
          <w:p w14:paraId="524C7F84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SAT </w:t>
            </w:r>
            <w:r w:rsidRPr="00621B41">
              <w:rPr>
                <w:rFonts w:cs="Times New Roman"/>
                <w:sz w:val="22"/>
                <w:szCs w:val="22"/>
              </w:rPr>
              <w:t>0-1 candidate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Pr="00621B41">
              <w:rPr>
                <w:rFonts w:cs="Times New Roman"/>
                <w:sz w:val="22"/>
                <w:szCs w:val="22"/>
              </w:rPr>
              <w:t xml:space="preserve"> in each cohort has taken SAT w/ writing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</w:tr>
      <w:tr w:rsidR="00E65F20" w:rsidRPr="00621B41" w14:paraId="179CC389" w14:textId="77777777" w:rsidTr="00E65F20">
        <w:tc>
          <w:tcPr>
            <w:tcW w:w="8910" w:type="dxa"/>
            <w:gridSpan w:val="7"/>
          </w:tcPr>
          <w:p w14:paraId="2828A120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Mode: Piloted from 2013-2017</w:t>
            </w:r>
          </w:p>
          <w:p w14:paraId="39BA0D7C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Validity: ACT-CAAP Technical Handbook pp. 36-40</w:t>
            </w:r>
          </w:p>
          <w:p w14:paraId="31A4251D" w14:textId="77777777" w:rsidR="00E65F20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Reliability: ACT-CAAP Technical Handbook pp. 25-28</w:t>
            </w:r>
          </w:p>
          <w:p w14:paraId="0130A5ED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Inter-rater Reliability: The Director of Teacher Education Licensing and Assessment gives these CAAP tests following all guidelines provided by ACT. </w:t>
            </w:r>
          </w:p>
          <w:p w14:paraId="425A2726" w14:textId="77777777" w:rsidR="00E65F20" w:rsidRPr="00621B41" w:rsidRDefault="00886115" w:rsidP="00C34C37">
            <w:pPr>
              <w:rPr>
                <w:rFonts w:cs="Times New Roman"/>
                <w:sz w:val="22"/>
                <w:szCs w:val="22"/>
              </w:rPr>
            </w:pPr>
            <w:hyperlink r:id="rId5" w:history="1">
              <w:r w:rsidR="00E65F20" w:rsidRPr="00621B41">
                <w:rPr>
                  <w:rStyle w:val="Hyperlink"/>
                  <w:rFonts w:cs="Times New Roman"/>
                  <w:sz w:val="22"/>
                  <w:szCs w:val="22"/>
                </w:rPr>
                <w:t>http://www.act.org/content/act/en/products-and-services/act-collegiate-assessment-of-academic-proficiency.html</w:t>
              </w:r>
            </w:hyperlink>
            <w:r w:rsidR="00E65F20" w:rsidRPr="00621B41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E65F20" w:rsidRPr="00621B41" w14:paraId="2BE7A605" w14:textId="77777777" w:rsidTr="00E65F20">
        <w:tc>
          <w:tcPr>
            <w:tcW w:w="8910" w:type="dxa"/>
            <w:gridSpan w:val="7"/>
          </w:tcPr>
          <w:p w14:paraId="74061ED5" w14:textId="77777777" w:rsidR="00E65F20" w:rsidRPr="00621B41" w:rsidRDefault="00E65F20" w:rsidP="00C34C37">
            <w:pPr>
              <w:rPr>
                <w:rFonts w:cs="Times New Roman"/>
                <w:sz w:val="22"/>
                <w:szCs w:val="22"/>
              </w:rPr>
            </w:pPr>
            <w:r w:rsidRPr="00621B41">
              <w:rPr>
                <w:rFonts w:cs="Times New Roman"/>
                <w:sz w:val="22"/>
                <w:szCs w:val="22"/>
              </w:rPr>
              <w:t>Documents:</w:t>
            </w:r>
          </w:p>
          <w:p w14:paraId="29D9B6D5" w14:textId="77777777" w:rsidR="00E65F20" w:rsidRPr="00637E0E" w:rsidRDefault="00E65F20" w:rsidP="00E65F20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begin"/>
            </w:r>
            <w:r>
              <w:rPr>
                <w:rFonts w:cs="Times New Roman"/>
                <w:sz w:val="22"/>
                <w:szCs w:val="22"/>
              </w:rPr>
              <w:instrText xml:space="preserve"> HYPERLINK "https://drive.google.com/file/d/0B4qIFoNjKPAsa2h3X1duVlJGVkk/view?usp=sharing" </w:instrText>
            </w:r>
            <w:r>
              <w:rPr>
                <w:rFonts w:cs="Times New Roman"/>
                <w:sz w:val="22"/>
                <w:szCs w:val="22"/>
              </w:rPr>
              <w:fldChar w:fldCharType="separate"/>
            </w:r>
            <w:r w:rsidRPr="00637E0E">
              <w:rPr>
                <w:rStyle w:val="Hyperlink"/>
                <w:rFonts w:cs="Times New Roman"/>
                <w:sz w:val="22"/>
                <w:szCs w:val="22"/>
              </w:rPr>
              <w:t>CAAP Testing Letter Revised</w:t>
            </w:r>
          </w:p>
          <w:p w14:paraId="2047E11F" w14:textId="77777777" w:rsidR="00E65F20" w:rsidRDefault="00E65F20" w:rsidP="00E65F2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end"/>
            </w:r>
            <w:hyperlink r:id="rId6" w:history="1">
              <w:r w:rsidRPr="00637E0E">
                <w:rPr>
                  <w:rStyle w:val="Hyperlink"/>
                  <w:rFonts w:cs="Times New Roman"/>
                  <w:sz w:val="22"/>
                  <w:szCs w:val="22"/>
                </w:rPr>
                <w:t>CAAP Testing Policy Revised</w:t>
              </w:r>
            </w:hyperlink>
          </w:p>
          <w:p w14:paraId="009430A4" w14:textId="77777777" w:rsidR="00E65F20" w:rsidRPr="00637E0E" w:rsidRDefault="00E65F20" w:rsidP="00E65F20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begin"/>
            </w:r>
            <w:r>
              <w:rPr>
                <w:rFonts w:cs="Times New Roman"/>
                <w:sz w:val="22"/>
                <w:szCs w:val="22"/>
              </w:rPr>
              <w:instrText xml:space="preserve"> HYPERLINK "https://drive.google.com/file/d/0B4qIFoNjKPAsdmFyR2JtSGhQc1k/view?usp=sharing" </w:instrText>
            </w:r>
            <w:r>
              <w:rPr>
                <w:rFonts w:cs="Times New Roman"/>
                <w:sz w:val="22"/>
                <w:szCs w:val="22"/>
              </w:rPr>
              <w:fldChar w:fldCharType="separate"/>
            </w:r>
            <w:r w:rsidRPr="00637E0E">
              <w:rPr>
                <w:rStyle w:val="Hyperlink"/>
                <w:rFonts w:cs="Times New Roman"/>
                <w:sz w:val="22"/>
                <w:szCs w:val="22"/>
              </w:rPr>
              <w:t>CAAP Score Report Interp Guide</w:t>
            </w:r>
          </w:p>
          <w:p w14:paraId="501AB6E7" w14:textId="77777777" w:rsidR="00E65F20" w:rsidRPr="00621B41" w:rsidRDefault="00E65F20" w:rsidP="00E65F2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end"/>
            </w:r>
            <w:hyperlink r:id="rId7" w:history="1">
              <w:r w:rsidRPr="00637E0E">
                <w:rPr>
                  <w:rStyle w:val="Hyperlink"/>
                  <w:rFonts w:cs="Times New Roman"/>
                  <w:sz w:val="22"/>
                  <w:szCs w:val="22"/>
                </w:rPr>
                <w:t>CAAP Technical Handbook</w:t>
              </w:r>
            </w:hyperlink>
          </w:p>
        </w:tc>
      </w:tr>
    </w:tbl>
    <w:p w14:paraId="70D8D48C" w14:textId="77777777" w:rsidR="000F2B9A" w:rsidRDefault="000F2B9A" w:rsidP="00E65F20">
      <w:pPr>
        <w:ind w:right="720"/>
        <w:jc w:val="center"/>
      </w:pPr>
    </w:p>
    <w:sectPr w:rsidR="000F2B9A" w:rsidSect="000F2B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3A16"/>
    <w:multiLevelType w:val="hybridMultilevel"/>
    <w:tmpl w:val="4A82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7917"/>
    <w:multiLevelType w:val="hybridMultilevel"/>
    <w:tmpl w:val="8DD0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62803"/>
    <w:multiLevelType w:val="hybridMultilevel"/>
    <w:tmpl w:val="486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8398E"/>
    <w:multiLevelType w:val="hybridMultilevel"/>
    <w:tmpl w:val="99A8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20"/>
    <w:rsid w:val="000F2B9A"/>
    <w:rsid w:val="00886115"/>
    <w:rsid w:val="00E6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5DFDBC"/>
  <w14:defaultImageDpi w14:val="300"/>
  <w15:docId w15:val="{70E85705-F56B-6249-8812-0CE95C3F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F20"/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F20"/>
    <w:rPr>
      <w:rFonts w:ascii="Times New Roman" w:eastAsiaTheme="minorHAns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F2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5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4qIFoNjKPAseEk3NWpUZG9pRzg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4qIFoNjKPAsQ3A0V2ZsVHJWdTg/view?usp=sharing" TargetMode="External"/><Relationship Id="rId5" Type="http://schemas.openxmlformats.org/officeDocument/2006/relationships/hyperlink" Target="http://www.act.org/content/act/en/products-and-services/act-collegiate-assessment-of-academic-proficienc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4923</Characters>
  <Application>Microsoft Office Word</Application>
  <DocSecurity>0</DocSecurity>
  <Lines>41</Lines>
  <Paragraphs>11</Paragraphs>
  <ScaleCrop>false</ScaleCrop>
  <Company>Barton Community College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Couch</dc:creator>
  <cp:keywords/>
  <dc:description/>
  <cp:lastModifiedBy>Cheryl Couch</cp:lastModifiedBy>
  <cp:revision>2</cp:revision>
  <dcterms:created xsi:type="dcterms:W3CDTF">2018-07-29T19:47:00Z</dcterms:created>
  <dcterms:modified xsi:type="dcterms:W3CDTF">2018-07-29T19:47:00Z</dcterms:modified>
</cp:coreProperties>
</file>